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Указ Президента РФ от 1 июня 2012 г. N 761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5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Правительству Российской Федерации: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а) в 3-месячный срок утвердить </w:t>
      </w:r>
      <w:hyperlink r:id="rId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9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10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172B1" w:rsidRPr="002172B1" w:rsidTr="002172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172B1" w:rsidRPr="002172B1" w:rsidRDefault="002172B1" w:rsidP="002172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</w:t>
            </w: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172B1" w:rsidRPr="002172B1" w:rsidRDefault="002172B1" w:rsidP="002172B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Москва, Кремль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 июня 2012 года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N 761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(утв. </w:t>
      </w:r>
      <w:hyperlink r:id="rId1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I. Введение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Основные проблемы в сфере детства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Нарастание новых рисков, связанных с распространением информации, представляющей опасность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10024"/>
      <w:bookmarkEnd w:id="0"/>
      <w:r w:rsidRPr="002172B1">
        <w:rPr>
          <w:rFonts w:eastAsia="Times New Roman" w:cs="Times New Roman"/>
          <w:sz w:val="24"/>
          <w:szCs w:val="24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* * *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II. Семейная политика детствосбережения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10042"/>
      <w:bookmarkEnd w:id="1"/>
      <w:r w:rsidRPr="002172B1">
        <w:rPr>
          <w:rFonts w:eastAsia="Times New Roman" w:cs="Times New Roman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Разработка и принятие </w:t>
      </w:r>
      <w:hyperlink r:id="rId1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индустрии детских товаров на период до 2020 года и </w:t>
      </w:r>
      <w:hyperlink r:id="rId17" w:anchor="block_2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Снижение численности семей, находящихся в социально опасном положении.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ГАРАНТ: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См. </w:t>
      </w:r>
      <w:hyperlink r:id="rId1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9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Минобрнауки России от 25 июня 2012 г. N ИБ-908/02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алкоголизмом, преступностью, проституцией; разработка эффективных механизмов профилактики девиантного поведения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8.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Расширение возможностей обучения детей с ограниченными возможностями здоровья в общеобразовательных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Осуществление мер по совершенствованию системы обеспечения качественным горячим питанием воспитанников дошкольных учреждений и обучающихся в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общеобразовательных учреждениях и учреждениях начального профессионального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подростковых суицидов.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Доступность отдыха и оздоровления для всех категорий детей с учетом их индивидуальных потребностей.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Переход к системе открытого усыновления с отказом от тайны усыновления.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Активизация работы по устранению различных барьеров в рамках реализации </w:t>
      </w:r>
      <w:hyperlink r:id="rId20" w:anchor="block_10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Ратификация </w:t>
      </w:r>
      <w:hyperlink r:id="rId2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В целях развития дружественного к ребенку правосудия предусматривается: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4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спектра мер воспитательного характера.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Внесение изменений в </w:t>
      </w:r>
      <w:hyperlink r:id="rId25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групп, а также о ресурсном обеспечении процесса участия детей в принятии указанных решений.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2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Национальную стратегию предусматривается реализовать в два этапа: первый в 2012 - 2014 годах и второй в 2015 - 2017 годах.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B0309F" w:rsidRDefault="00B0309F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 1 июня 2012 года в соответствии с Указом Президента РФ № 761 вступила в законную силу </w:t>
      </w:r>
      <w:hyperlink r:id="rId29" w:history="1">
        <w:r w:rsidRPr="002172B1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Национальная стратегия действий в интересах детей на 2012 - 2017 годы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(далее –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своих комментариях к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остановлюсь на тех её моментах, которые представляются принципиально важными для понимания сути данного документа в целом.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Вопреки правилам формальной логики следует начать, на мой взгляд, с одного из  заключительных положений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, а именно – с раздела VI, так как здесь содержатся номы, которые определяют основную направленность документа и носят наиболее яркую «ювенальную окраску».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Раздел VI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называется «СОЗДАНИЕ СИСТЕМЫ ЗАЩИТЫ И ОБЕСПЕЧЕНИЯ ПРАВ И ИНТЕРЕСОВ ДЕТЕЙ И ДРУЖЕСТВЕННОГО К РЕБЕНКУ ПРАВОСУДИЯ».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   Практически первое, что мы с удивлением узнаём из указанного раздела – это то, что, оказывается,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значительная часть преступлений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против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жизни, здоровья и половой неприкосновенности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детей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совершается в семье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, а также лицами, обязанными по закону заботиться о ребенке»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VI, п.1, абз. 3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     Тезис о том, что значительная часть преступлений против детей совершается в семье, требует более пристального к себе внимания, поскольку он является основополагающим и определяющим логику законодателя в плане дальнейшего нормативного регулирования. Прошу заметить – ни на улицах и перекрестках, ни в подворотнях и переходах, ни в клубах и дискотеках, ни в каких-то других местах, а именно –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 семье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таится настоящая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угроза для детей!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Иными словами, «семья – это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потенциально опасная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среда в жизни ребенка». Именно такую мысль старается навязать обществу законодатель, когда говорит о «значительности» семейного насилия.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Теперь давайте посмотрим, насколько «опасна» для ребенка семья на самом деле.  Для этого достаточно привести всего лишь одну цифру. По данным, размещенным на сайте информационно-аналитической службы «Русская народная линия», со ссылкой на статистику МВД России за 2011 год (Ф. 455 кн. 709 ГИАЦ МВД России), «относительно общей численности детей, проживающих в России, число несовершеннолетних жертв семейного насилия составляет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0,02%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». При этом отмечается, что в целом по стране за последние годы «зафиксировано снижение числа преступлений, совершенных в отношении несовершеннолетних» (более подробно см. </w:t>
      </w:r>
      <w:hyperlink r:id="rId3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http://b23.ru/yu4g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). Согласитесь, статистика весьма красноречива, и вряд ли цифру «0,02%» можно назвать «значительной». 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Постулирование заведомо несоответствующего действительности тезиса о «значительном» семейном насилии в России, а также постоянное педалирование и раздувание этой темы в СМИ, вне всяких сомнений, действует крайне разрушительно на институт семьи и пагубно влияет на общественное сознание. Однако «ювенальщикам» без него не обойтись, иначе они не смогли бы двигаться дальше и вводить своё законодательство в сфере семейных отношений. Ведь, если семья представляет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потенциальную опасность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для ребенка, значит именно туда и следует направить весь арсенал  средств и методов нормативно-правового регулирования.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Что и демонстрирует нам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когда в целях «обеспечения соблюдения прав и законных интересов ребенка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 семье</w:t>
      </w:r>
      <w:r w:rsidRPr="002172B1">
        <w:rPr>
          <w:rFonts w:eastAsia="Times New Roman" w:cs="Times New Roman"/>
          <w:sz w:val="24"/>
          <w:szCs w:val="24"/>
          <w:lang w:eastAsia="ru-RU"/>
        </w:rPr>
        <w:t>» устанавливает  принцип 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своевременного выявления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их нарушений» (раздел I, п. 2, абз. 1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На протяжении всего дальнейшего текста данный принцип развивается и конкретизируется.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Так, в качестве одной из задач «семейной политики детствосбережения» названо «обеспечение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профилактики семейного неблагополучия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основанной на его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раннем выявлении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II, п. 2, абз. 4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числе мер, направленных на «формирование безопасного и комфортного семейного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окружения для детей» должно быть «формирование действенных механизмов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раннего выявления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sz w:val="24"/>
          <w:szCs w:val="24"/>
          <w:lang w:eastAsia="ru-RU"/>
        </w:rPr>
        <w:t>жестокого обращения и насилия в отношении ребенка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II,  п. 5, абз.7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Для реформирования действующего законодательства предписывается, в том числе, совершенствовать работу органов опеки и попечительства, и усилить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меры</w:t>
      </w:r>
      <w:r w:rsidRPr="002172B1">
        <w:rPr>
          <w:rFonts w:eastAsia="Times New Roman" w:cs="Times New Roman"/>
          <w:sz w:val="24"/>
          <w:szCs w:val="24"/>
          <w:lang w:eastAsia="ru-RU"/>
        </w:rPr>
        <w:t>»  по «защите прав и интересов детей, находящихся в социально опасном положении», на основе обеспечения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раннего выявления семей</w:t>
      </w:r>
      <w:r w:rsidRPr="002172B1">
        <w:rPr>
          <w:rFonts w:eastAsia="Times New Roman" w:cs="Times New Roman"/>
          <w:sz w:val="24"/>
          <w:szCs w:val="24"/>
          <w:lang w:eastAsia="ru-RU"/>
        </w:rPr>
        <w:t>, находящихся в кризисной ситуации» (раздел VI, п. 3, абз. 9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 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  Что такое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меры</w:t>
      </w:r>
      <w:r w:rsidRPr="002172B1">
        <w:rPr>
          <w:rFonts w:eastAsia="Times New Roman" w:cs="Times New Roman"/>
          <w:sz w:val="24"/>
          <w:szCs w:val="24"/>
          <w:lang w:eastAsia="ru-RU"/>
        </w:rPr>
        <w:t>» и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раннее выявление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уже наглядно было показано в законопроекте, получившем  название «О социальном патронате» (пока, к счастью, непринятом), в соответствии с которым органы опеки и попечительства наделены правом вмешиваться в дела любой семьи, которая, по их мнению, находится в «социально опасном положении» (более подробно см., напр., </w:t>
      </w:r>
      <w:hyperlink r:id="rId3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http://b23.ru/ydlo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,  </w:t>
      </w:r>
      <w:hyperlink r:id="rId3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http://eot.su/node/13228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Таким образом, на протяжении всего текста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мы видим, по существу, введение в российское законодательство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презумпции виновности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, как субъекта права. С другой стороны, семья, как объект защиты этого права, практически исчезает. Иначе говоря, заранее предполагается, что в любой момент интересы ребенка в семье могут быть нарушены, а чтобы этого не произошло, как раз и требуется установить специальные нормы, которые позволили бы, например, органам опеки и попечительства иметь беспрепятственный доступ в каждую семью, дабы обеспечить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раннее выявление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>  таких нарушений.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презумпция виновности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вступает в противоречие не только с основными началами и принципами семейного законодательства, которое, кстати, и предлагается «привести в соответствие»,  но и с конституционными установлениями.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Рассмотрим несколько основных норм Конституции Российской Федерации и ныне действующего семейного права, отраженного в Семейном кодексе Российской Федерации (далее – СК РФ).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Конституции РФ закреплено, что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материнство и детство, семья находятся под защитой государства</w:t>
      </w:r>
      <w:r w:rsidRPr="002172B1">
        <w:rPr>
          <w:rFonts w:eastAsia="Times New Roman" w:cs="Times New Roman"/>
          <w:sz w:val="24"/>
          <w:szCs w:val="24"/>
          <w:lang w:eastAsia="ru-RU"/>
        </w:rPr>
        <w:t>», и что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забота о детях, их воспитание – равное право и обязанность 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>» (пп.1и 2, ст. 38 Конституции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Семья, материнство, отцовство и детство в Российской Федерации находятся под защитой государства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Семейное законодательство исходит из необходимости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укрепления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построения семейных отношений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чувствах взаимной любви и уважения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взаимопомощи и ответственности перед семьей всех ее членов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недопустимости произвольного вмешательства кого-либо в дела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…» (п. 1, ст. 1 СК РФ)…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 имеют равные права и несут равные обязанности в отношении своих 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(родительские права)</w:t>
      </w:r>
      <w:r w:rsidRPr="002172B1">
        <w:rPr>
          <w:rFonts w:eastAsia="Times New Roman" w:cs="Times New Roman"/>
          <w:sz w:val="24"/>
          <w:szCs w:val="24"/>
          <w:lang w:eastAsia="ru-RU"/>
        </w:rPr>
        <w:t>» (п. 1, ст. 61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 имеют право и обязаны воспитывать своих 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>» (п. 1, ст. 63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Как видим, провозглашенный в семейном праве принцип укрепления семьи и конституционное право родителей самостоятельно воспитывать своих детей без постороннего вмешательства, никак не увязываются с принципом «раннего выявления» нарушений прав ребенка в семье. Какое может быть право на воспитание своего ребенка и укрепление семьи, когда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любой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момент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любую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семью в целях «профилактики» и «раннего выявления» могут придти люди, наделенные государством соответствующими полномочиями, и вмешаться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любые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внутрисемейные отношения.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Что же касается ситуаций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реальной опасности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>, в которых действительно может оказаться ребенок, то здесь всё давно проработано. Семейный кодекс Российской Федерации в таких случаях предусматривает следующее: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    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Федерации» (ст. 77, п. 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Поэтому, учитывая не столь многочисленные (вспомним 0,02% по стране) случаи семейного насилия, которые все-таки имеют место, названной нормы представляется вполне достаточным для помощи детям, попавшим в тяжелые жизненные обстоятельства.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Говоря о противоречиях содержания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 основами всего остального действующего законодательства, и прежде всего, с вышеупомянутыми конституционными нормами, нельзя не обратить внимание на текстовое построение раздела I «Введение»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,  который и «задает тон» всему документу.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начинается ссылкой на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Всеобщую декларацию прав человека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согласно которой «дети имеют право на особую заботу и помощь». Далее законодатель, как бы, вспомнив про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Основной Закон своей страны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говорит о том, что «Конституция Российской Федерации гарантирует государственную поддержку семьи, материнства и детства». А затем, посчитав, вероятно, формальность выполненной, вновь обращается к международному законодательству и устанавливает, что, «подписав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Конвенцию о правах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иные международные акты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дальнейшем тексте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мы уже больше не встретим ссылок на Конституцию РФ и другое национальное законодательство, зато без труда найдем множество отсылочных норм, апеллирующих к различным «международным» актам.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Так, например,  в разделе о «семейной политике детствосбережения» в качестве одной из мер, нацеленных на  «формирование безопасного и комфортного семейного окружения для детей» признаётся необходимым направить усилия на «реализацию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политике в поддержку позитивного родительства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II, п.5, абз. 4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разделе, посвященном «детям, нуждающимся в особой заботе» предлагается «разработать меры, направленные на защиту прав и интересов детей-сирот и детей, оставшихся без попечения родителей»,  в числе которых называется «обеспечение выполнения в учреждениях для детей-сирот и детей, оставшихся без попечения родителей,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правах детей, находящихся в учреждениях опеки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V, п. 3, абз. 10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Из раздела, регламентирующего создание системы «дружественного к ребенку правосудия» мы узнаём, что «в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Конвенции о правах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заключительных замечаний Комитета ООН по правам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>…» (раздел VI, п.1, абз.1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целях развития «дружественного к ребенку правосудия» предусматривается, в том числе, и «обеспечение выполнения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Минимальных стандартных правил ООН, касающихся отправления правосудия в отношении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Пекинские правила 1985 года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Руководящих принципов ООН для предупреждения преступности среди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Эр-Риядские руководящие принципы 1990 года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4, абз. 6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Перечень отсылочных норм такого свойства можно продолжать. Хотя в исследуемом документе и сказано, что «Национальная стратегия разработана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 учетом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Стратегии Совета Европы по защите прав ребенка на 2012 - 2015 годы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…» (см. раздел I, п. 2 «Ключевые принципы Национальной стратегии»), однако создается полное ощущение,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что Евросоюз вместе с «дружественным» международным сообществом просто навязывает нам свои «рекомендации». Россия же должна действовать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не «с учётом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>, а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 исполнение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данных «рекомендаций». В таком случае становится не совсем непонятно,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 xml:space="preserve">почему данная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 xml:space="preserve"> именуется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Национальной</w:t>
      </w:r>
      <w:r w:rsidRPr="002172B1">
        <w:rPr>
          <w:rFonts w:eastAsia="Times New Roman" w:cs="Times New Roman"/>
          <w:sz w:val="24"/>
          <w:szCs w:val="24"/>
          <w:lang w:eastAsia="ru-RU"/>
        </w:rPr>
        <w:t>»? Оставляю этот вопрос открытым.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Дальше логика законодателя развивается  в русле усиления возможностей влияния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институт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, так сказать, с другого края, или вернее, с тыла. Ведь недостаточно одного только вмешательства государственных чиновников в семейные дела, необходимо и ребенку предоставить возможность самому быть полноправным субъектом «взрослых» отношений, а, по существу, субъектом разложения семейных устоев изнутри.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Поэтому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предполагается в соответствии, опять-таки, «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 международными обязательствами Российской Федерации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обеспечить доступ  детей  к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вне  зависимости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от  их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процессуальной  правоспособности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статуса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, что  будет  способствовать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созданию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дружественного  к  ребенку  правосудия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1, абз. 2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Не говоря уже о том, для чего законодатель собирается «обеспечить доступ детей к правосудию», совершенно непонятно, каким образом он собирается это сделать  «вне зависимости от их процессуальной правоспособности и статуса»? И что понимает законодатель под «статусом ребенка» в данном контексте?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Ныне действующее процессуальное законодательство вкупе с семейным правом довольно четко регламентирует участие детей в гражданском судопроизводстве и административных правоотношениях. При этом представляется, что права детей в настоящее время и без того достаточно широки, чтобы расширять их еще больше, и даже делать независимыми от «процессуальной правоспособности».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Чтобы понять, насколько велик или мал спектр прав, обеспечивающих современному ребенку в России «доступ к правосудию», необходимо сделать краткий обзор текущего законодательства в этой сфере.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соответствии с Семейным кодексом Российской Федерации ребенком следует считать «лицо, не достигшее возраста восемнадцати лет (совершеннолетия)» (ст. 54, п.1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Согласно статье 36 Гражданского процессуального кодекса Российской Федерации (далее – ГПК РФ) «гражданская процессуальная правоспособность признается в равной мере за всеми гражданами и организациями, обладающими согласно законодательству Российской Федерации правом на судебную защиту прав, свобод и законных интересов».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Правоспособность, то есть способность иметь права и обязанности, всегда реализуется через дееспособность, то есть способность своими действиями осуществлять права и приобретать обязанности.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соответствии с пунктом 1 статьи 37 ГПК РФ «способность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Несовершеннолетние в возрасте от 14 до 18 лет приравниваются в своих правах к ограниченно дееспособным совершеннолетним гражданам (за исключением случаев применения эмансипации в соответствии с главой 32 ГПК РФ). Права, свободы и законные интересы таких несовершеннолетних в процессе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защищают их законные представители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есть, главным образом – это, конечно же,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а также лица, их заменяющие. При этом устанавливается, что «суд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обязан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привлекать к участию в таких делах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самих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». Кроме того, по некоторым категориям гражданских, семейных, трудовых и иных дел закон предоставляет  несовершеннолетним в возрасте от 14 до 18 лет право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самостоятельно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отстаивать свои интересы в суде, но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может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(хотя и не обязан) привлекать к участию в деле 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законных представителей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(ст . 37, пп. 3 и 4 ГПК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  Несовершеннолетние в возрасте до 14 лет приравнены к недееспособным гражданам и их права, свободы и законные интересы также защищают в процессе их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законные представители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При этом суд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вправе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привлечь к участию в таких делах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только недееспособных совершеннолетних граждан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же к участию в процессе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не привлекают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(ст. 37, п. 5 ГПК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Семейный кодекс Российской Федерации закрепляет право ребенка «на защиту своих прав и законных интересов» и указывает, что, за исключением случаев применения эмансипации,  данное право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осуществляется родителями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(лицами, их заменяющими)…» (п. 1, ст. 56 СК РФ).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Таким образом, мы видим, что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правоспособность в процессуальном смысле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есть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 на самостоятельное участие в процессе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отправления правосудия по некоторым категориям дел, у несовершеннолетних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частично возникает лишь с 14 лет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В большинстве же случаев интересы ребенка в суде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представляют его родители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>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Если следовать буквальному толкованию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а именно такое толкование представляется на данный момент единственно возможным, то получается, что все дети независимо от их возраста, могут сами обращаться в любые органы правосудия с различного рода заявлениями и жалобами, при условии умения писать. А если ребенок еще не умеет писать, то, вероятно, предполагается, что ему должны помочь это сделать соответствующие государственные органы. Тем более что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разделе «ДЕТИ - УЧАСТНИКИ РЕАЛИЗАЦИИ НАЦИОНАЛЬНОЙ СТРАТЕГИИ» предусматривает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воспитание у детей гражданственности, расширение их знаний в области прав человека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(раздел VII, п. 2, абз. 4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То есть, попросту говоря, едва взяв в руки букварь, ребенок уже будет получать знания о «правах человека», а значит, и о праве детей на «доступ к правосудию». Примечательно, что законодатель ставит воспитание гражданственности в один рад с «правами человека», а не в один ряд с воспитанием патриотизма, любви к Родине, воспитанием ответственности гражданина перед государством и обществом.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 введением принципа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доступа  детей  к правосудию  вне  зависимости  от  их  процессуальной  правоспособности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в значительной степени нивелируется рассмотренный нами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институт законного представительства 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Ведь, если ребенку предоставлено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 самостоятельно обращаться в судебные органы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зачем ему для этого родители. Причем,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идет прямой намек именно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как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потенциальных ответчиков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таких делах. В противном случае, просто не имело бы смысла наделять детей такого рода независимостью, поскольку их права во всех сферах жизни всегда могут защитить родители. И только для того, чтобы пожаловаться на самих родителей, ребенку и требуется свободный  «доступ к правосудию».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Продолжая краткий обзор текущего законодательства в области прав детей, необходимо перечислить основные права, которыми сейчас обладают дети в сфере семейных отношений, и о части которых было упомянуто выше.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Глава 11 Семейного кодекса предусматривает следующие основные права ребенка: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жить и воспитываться в семье (ст. 54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общение с родителями и другими родственниками (ст. 55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защиту (ст. 56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выражать свое мнение (ст. 57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имя, отчество и фамилию (ст. 58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имущественные права, в том числе право на получение содержания от своих родителей и других членов семьи (ст. 60 СК РФ).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     Семейный кодекс Российской Федерации содержит также достаточно широкий перечень случаев, когда не просто учитывается мнение ребенка, а его согласие  на то или иное действие является обязательным.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     Так, например, «изменение имени и (или) фамилии ребенка, достигшего возраста десяти лет, может быть произведено только с его согласия» (ст. 59, п. 4 СК РФ); «восстановление в родительских правах в отношении ребенка, достигшего возраста десяти лет, возможно только с его согласия» (ст.72, п. 4 СК РФ); «для усыновления ребенка, достигшего возраста десяти лет, необходимо его согласие» (ст. 132, п. 1 СК РФ); «назначение опекуна ребенку, достигшему возраста десяти лет, осуществляется с его согласия» (ст. 145, п. 4 СК РФ). Современным законодательством предусматривается и ряд других обстоятельств, при возникновении которых согласие ребенка на что-либо признаётся обязательным.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Кроме того,  «ребенок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интересам» (ст. 57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разработчикам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такой объем прав детей кажется явно недостаточным. Не достаточно им даже того, что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предписывает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обеспечить доступ  детей  к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вне  зависимости  от  их  процессуальной  правоспособности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>». Законодатель на этом не останавливается и идет еще дальше, когда «в целях развития дружественного к ребенку правосудия» признаёт необходимым «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принятие мер по обеспечению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доступа детей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 международному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защиты их прав и интересов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4, абз. 3 и 5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Дальше уж, кажется, «расширять» права детей больше некуда. Комментировать такое нововведение довольно сложно, да и, по-моему, излишне, поскольку данная  норма говорит сама за себя не менее красноречиво, чем предыдущая. Скажу только, что законодатель, видимо, не очень надеясь на наше правосудие, оставляет ребенку возможность напрямую обращаться в международные судебные органы, чтобы те, в свою очередь, могли «спускать» российским судам свои «директивы» и «рекомендации» о том, как надо «правильно» защищать права детей.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целом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предполагает выработать конкретные механизмы реализации Конвенции о правах ребенка и прочих уже упоминавшихся документов международного права по таким направлениям, как обучение, воспитание и культурное развитие детей (раздел III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); здравоохранение (раздел IV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); защита прав детей-сирот и детей-инвалидов (раздел V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 и целому ряду сопутствующих направлений.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Для подробного и основательного анализа всех этих направлений «действий в интересах детей» необходимо более фундаментальное исследование, и формата статейного комментария не вполне достаточно. И, тем не менее, можно со всей убежденностью констатировать, как минимум, два основных негативных следствия, которые со всей очевидностью вытекают из существа предложенных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концепций.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Первое – это уничтожение семьи, как единого социального организма, её распыление и атомизация: во-первых, вследствие вмешательства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извне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либо постоянной угрозы такого вмешательства; во-вторых, вследствие реализации ребенком предоставленных ему прав и неполучения корреспондирующих им естественных запретов и обязательств (с одной стороны), и отсутствия прав влияния и пресечения у родителей (с другой стороны), что с неизбежностью приведет к разложению семьи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изнутри</w:t>
      </w:r>
      <w:r w:rsidRPr="002172B1">
        <w:rPr>
          <w:rFonts w:eastAsia="Times New Roman" w:cs="Times New Roman"/>
          <w:sz w:val="24"/>
          <w:szCs w:val="24"/>
          <w:lang w:eastAsia="ru-RU"/>
        </w:rPr>
        <w:t>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Второе – это развращение детей, как результат воспитания в них эгоцентрического и  потребительского начала, по тем же самым причинам, то есть, вследствие обилия прав и недостатка обязанностей у ребенка из-за раннего ознакомления его с «правами человека» при условии невозможности родителей влиять на ситуацию.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заключение необходимо отметить, что в целях осуществления всех содержащихся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установок, предусматривается кардинальная переработка всего текущего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российского законодательства.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частности, предполагается: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«Ратификация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детей…» (раздел VI, п. 3, абз. 1 и 2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нет полной уверенности в том, что все те нормы и принципы, которые заложены в самой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в указанных документах международного права, а также «общепризнанные международные стандарты» пойдут на пользу нашим детям и нашим семьям. Скорее, есть уверенность в обратном.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 крайней мере, одно совершенно ясно – семья, как единый социальный организм и правовой институт, пока еще находящийся под защитой закона,  подвергается в связи с принятием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серьезной опасности. Полагаю, не ошибусь, если скажу, что необходимо всеми законными способами противодействовать реализации предложенной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.   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 22 ноября 2012 г.   </w:t>
      </w:r>
    </w:p>
    <w:p w:rsidR="002172B1" w:rsidRDefault="002172B1"/>
    <w:p w:rsidR="002172B1" w:rsidRDefault="002172B1"/>
    <w:p w:rsidR="002172B1" w:rsidRDefault="002172B1"/>
    <w:sectPr w:rsidR="002172B1" w:rsidSect="00B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EAF"/>
    <w:multiLevelType w:val="multilevel"/>
    <w:tmpl w:val="E5D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2172B1"/>
    <w:rsid w:val="002172B1"/>
    <w:rsid w:val="00580FF5"/>
    <w:rsid w:val="00672C28"/>
    <w:rsid w:val="00B0309F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F"/>
  </w:style>
  <w:style w:type="paragraph" w:styleId="4">
    <w:name w:val="heading 4"/>
    <w:basedOn w:val="a"/>
    <w:link w:val="40"/>
    <w:uiPriority w:val="9"/>
    <w:qFormat/>
    <w:rsid w:val="002172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2B1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2B1"/>
    <w:rPr>
      <w:color w:val="0000FF"/>
      <w:u w:val="single"/>
    </w:rPr>
  </w:style>
  <w:style w:type="paragraph" w:customStyle="1" w:styleId="s16">
    <w:name w:val="s_16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2B1"/>
    <w:rPr>
      <w:b/>
      <w:bCs/>
    </w:rPr>
  </w:style>
  <w:style w:type="character" w:styleId="a6">
    <w:name w:val="Emphasis"/>
    <w:basedOn w:val="a0"/>
    <w:uiPriority w:val="20"/>
    <w:qFormat/>
    <w:rsid w:val="00217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2628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943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8957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103544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12184011/" TargetMode="External"/><Relationship Id="rId29" Type="http://schemas.openxmlformats.org/officeDocument/2006/relationships/hyperlink" Target="http://graph.document.kremlin.ru/page.aspx?1;1613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2540422/" TargetMode="External"/><Relationship Id="rId32" Type="http://schemas.openxmlformats.org/officeDocument/2006/relationships/hyperlink" Target="http://eot.su/node/13228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1961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hyperlink" Target="http://base.garant.ru/70183566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hyperlink" Target="http://b23.ru/yd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hyperlink" Target="http://base.garant.ru/70359656/" TargetMode="External"/><Relationship Id="rId27" Type="http://schemas.openxmlformats.org/officeDocument/2006/relationships/hyperlink" Target="http://base.garant.ru/191961/" TargetMode="External"/><Relationship Id="rId30" Type="http://schemas.openxmlformats.org/officeDocument/2006/relationships/hyperlink" Target="http://b23.ru/y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17626</Words>
  <Characters>100471</Characters>
  <Application>Microsoft Office Word</Application>
  <DocSecurity>0</DocSecurity>
  <Lines>837</Lines>
  <Paragraphs>235</Paragraphs>
  <ScaleCrop>false</ScaleCrop>
  <Company>ds39</Company>
  <LinksUpToDate>false</LinksUpToDate>
  <CharactersWithSpaces>117862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Deloproisvoditel</dc:creator>
  <cp:keywords/>
  <dc:description/>
  <cp:lastModifiedBy>Deloproisvoditel</cp:lastModifiedBy>
  <cp:revision>2</cp:revision>
  <dcterms:created xsi:type="dcterms:W3CDTF">2013-07-12T05:50:00Z</dcterms:created>
  <dcterms:modified xsi:type="dcterms:W3CDTF">2013-07-12T05:52:00Z</dcterms:modified>
</cp:coreProperties>
</file>